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b/>
          <w:color w:val="003366"/>
          <w:sz w:val="28"/>
        </w:rPr>
        <w:t>REPUBLICA DOMINICANA</w:t>
      </w:r>
    </w:p>
    <w:p>
      <w:pPr>
        <w:jc w:val="center"/>
      </w:pPr>
      <w:r>
        <w:rPr>
          <w:color w:val="505050"/>
          <w:sz w:val="24"/>
        </w:rPr>
        <w:t>Gobierno del Presidente Luis Abinader</w:t>
      </w:r>
    </w:p>
    <w:p/>
    <w:p>
      <w:pPr>
        <w:jc w:val="center"/>
      </w:pPr>
      <w:r>
        <w:rPr>
          <w:color w:val="006699"/>
        </w:rPr>
        <w:t>============================================================</w:t>
      </w:r>
    </w:p>
    <w:p/>
    <w:p>
      <w:pPr>
        <w:jc w:val="center"/>
      </w:pPr>
      <w:r>
        <w:rPr>
          <w:b/>
          <w:color w:val="003366"/>
          <w:sz w:val="56"/>
        </w:rPr>
        <w:t>PROPUESTA DE INVERSION</w:t>
      </w:r>
    </w:p>
    <w:p>
      <w:pPr>
        <w:jc w:val="center"/>
      </w:pPr>
      <w:r>
        <w:rPr>
          <w:b/>
          <w:color w:val="006699"/>
          <w:sz w:val="44"/>
        </w:rPr>
        <w:t>PROGRAMA VISION INFANTIL SANA</w:t>
      </w:r>
    </w:p>
    <w:p>
      <w:pPr>
        <w:jc w:val="center"/>
      </w:pPr>
      <w:r>
        <w:rPr>
          <w:i/>
          <w:color w:val="646464"/>
          <w:sz w:val="28"/>
        </w:rPr>
        <w:t>Salud Visual Escolar con Tecnologia de Inteligencia Artificial</w:t>
      </w:r>
    </w:p>
    <w:p/>
    <w:p>
      <w:pPr>
        <w:jc w:val="center"/>
      </w:pPr>
      <w:r>
        <w:rPr>
          <w:b/>
          <w:color w:val="663399"/>
          <w:sz w:val="32"/>
        </w:rPr>
        <w:t>PROVINCIAS: SANTO DOMINGO + SANTIAGO</w:t>
      </w:r>
    </w:p>
    <w:p>
      <w:pPr>
        <w:jc w:val="center"/>
      </w:pPr>
      <w:r>
        <w:rPr>
          <w:sz w:val="28"/>
        </w:rPr>
        <w:t>PERIODO FISCAL 2026</w:t>
      </w:r>
    </w:p>
    <w:p/>
    <w:p/>
    <w:p>
      <w:pPr>
        <w:jc w:val="center"/>
      </w:pPr>
      <w:r>
        <w:rPr>
          <w:color w:val="505050"/>
          <w:sz w:val="24"/>
        </w:rPr>
        <w:t>INVERSION REQUERIDA</w:t>
      </w:r>
    </w:p>
    <w:p>
      <w:pPr>
        <w:jc w:val="center"/>
      </w:pPr>
      <w:r>
        <w:rPr>
          <w:b/>
          <w:color w:val="006400"/>
          <w:sz w:val="72"/>
        </w:rPr>
        <w:t>RD$298,635,245</w:t>
      </w:r>
    </w:p>
    <w:p/>
    <w:p/>
    <w:p/>
    <w:p>
      <w:pPr>
        <w:jc w:val="center"/>
      </w:pPr>
      <w:r>
        <w:rPr>
          <w:color w:val="3C3C3C"/>
          <w:sz w:val="22"/>
        </w:rPr>
        <w:t>Instituto Nacional de Bienestar Estudiantil (INABIE)</w:t>
      </w:r>
    </w:p>
    <w:p>
      <w:pPr>
        <w:jc w:val="center"/>
      </w:pPr>
      <w:r>
        <w:rPr>
          <w:color w:val="3C3C3C"/>
          <w:sz w:val="22"/>
        </w:rPr>
        <w:t>Ministerio de Educacion de la Republica Dominicana (MINERD)</w:t>
      </w:r>
    </w:p>
    <w:p>
      <w:pPr>
        <w:jc w:val="center"/>
      </w:pPr>
      <w:r>
        <w:rPr>
          <w:color w:val="3C3C3C"/>
          <w:sz w:val="22"/>
        </w:rPr>
        <w:t>Ministerio de Salud Publica (MSP)</w:t>
      </w:r>
    </w:p>
    <w:p/>
    <w:p/>
    <w:p>
      <w:pPr>
        <w:jc w:val="center"/>
      </w:pPr>
      <w:r>
        <w:rPr>
          <w:color w:val="787878"/>
          <w:sz w:val="20"/>
        </w:rPr>
        <w:t>Diciembre 2024 | Version 1.0 | ESC-2026-0010</w:t>
      </w:r>
    </w:p>
    <w:p>
      <w:pPr>
        <w:jc w:val="center"/>
      </w:pPr>
      <w:r>
        <w:rPr>
          <w:b/>
          <w:color w:val="B40000"/>
          <w:sz w:val="20"/>
        </w:rPr>
        <w:t>DOCUMENTO CONFIDENCIAL - USO OFICIAL</w:t>
      </w:r>
    </w:p>
    <w:p>
      <w:r>
        <w:br w:type="page"/>
      </w:r>
    </w:p>
    <w:p>
      <w:pPr>
        <w:pStyle w:val="Heading1"/>
      </w:pPr>
      <w:r>
        <w:rPr>
          <w:color w:val="003366"/>
          <w:sz w:val="32"/>
        </w:rPr>
        <w:t>CONTENIDO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567"/>
          </w:tcPr>
          <w:p>
            <w:r>
              <w:t>1.</w:t>
            </w:r>
          </w:p>
        </w:tc>
        <w:tc>
          <w:tcPr>
            <w:tcW w:type="dxa" w:w="3135"/>
          </w:tcPr>
          <w:p>
            <w:r>
              <w:t>Resumen Ejecutivo</w:t>
            </w:r>
          </w:p>
        </w:tc>
        <w:tc>
          <w:tcPr>
            <w:tcW w:type="dxa" w:w="850"/>
          </w:tcPr>
          <w:p>
            <w:pPr>
              <w:jc w:val="right"/>
            </w:pPr>
            <w:r>
              <w:t>3</w:t>
            </w:r>
          </w:p>
        </w:tc>
      </w:tr>
      <w:tr>
        <w:tc>
          <w:tcPr>
            <w:tcW w:type="dxa" w:w="567"/>
          </w:tcPr>
          <w:p>
            <w:r>
              <w:t>2.</w:t>
            </w:r>
          </w:p>
        </w:tc>
        <w:tc>
          <w:tcPr>
            <w:tcW w:type="dxa" w:w="3135"/>
          </w:tcPr>
          <w:p>
            <w:r>
              <w:t>Contexto y Justificacion</w:t>
            </w:r>
          </w:p>
        </w:tc>
        <w:tc>
          <w:tcPr>
            <w:tcW w:type="dxa" w:w="850"/>
          </w:tcPr>
          <w:p>
            <w:pPr>
              <w:jc w:val="right"/>
            </w:pPr>
            <w:r>
              <w:t>4</w:t>
            </w:r>
          </w:p>
        </w:tc>
      </w:tr>
      <w:tr>
        <w:tc>
          <w:tcPr>
            <w:tcW w:type="dxa" w:w="567"/>
          </w:tcPr>
          <w:p>
            <w:r>
              <w:t>3.</w:t>
            </w:r>
          </w:p>
        </w:tc>
        <w:tc>
          <w:tcPr>
            <w:tcW w:type="dxa" w:w="3135"/>
          </w:tcPr>
          <w:p>
            <w:r>
              <w:t>Descripcion del Programa</w:t>
            </w:r>
          </w:p>
        </w:tc>
        <w:tc>
          <w:tcPr>
            <w:tcW w:type="dxa" w:w="850"/>
          </w:tcPr>
          <w:p>
            <w:pPr>
              <w:jc w:val="right"/>
            </w:pPr>
            <w:r>
              <w:t>5</w:t>
            </w:r>
          </w:p>
        </w:tc>
      </w:tr>
      <w:tr>
        <w:tc>
          <w:tcPr>
            <w:tcW w:type="dxa" w:w="567"/>
          </w:tcPr>
          <w:p>
            <w:r>
              <w:t>4.</w:t>
            </w:r>
          </w:p>
        </w:tc>
        <w:tc>
          <w:tcPr>
            <w:tcW w:type="dxa" w:w="3135"/>
          </w:tcPr>
          <w:p>
            <w:r>
              <w:t>Tecnologia e Innovacion</w:t>
            </w:r>
          </w:p>
        </w:tc>
        <w:tc>
          <w:tcPr>
            <w:tcW w:type="dxa" w:w="850"/>
          </w:tcPr>
          <w:p>
            <w:pPr>
              <w:jc w:val="right"/>
            </w:pPr>
            <w:r>
              <w:t>6</w:t>
            </w:r>
          </w:p>
        </w:tc>
      </w:tr>
      <w:tr>
        <w:tc>
          <w:tcPr>
            <w:tcW w:type="dxa" w:w="567"/>
          </w:tcPr>
          <w:p>
            <w:r>
              <w:t>5.</w:t>
            </w:r>
          </w:p>
        </w:tc>
        <w:tc>
          <w:tcPr>
            <w:tcW w:type="dxa" w:w="3135"/>
          </w:tcPr>
          <w:p>
            <w:r>
              <w:t>Cobertura Geografica</w:t>
            </w:r>
          </w:p>
        </w:tc>
        <w:tc>
          <w:tcPr>
            <w:tcW w:type="dxa" w:w="850"/>
          </w:tcPr>
          <w:p>
            <w:pPr>
              <w:jc w:val="right"/>
            </w:pPr>
            <w:r>
              <w:t>7</w:t>
            </w:r>
          </w:p>
        </w:tc>
      </w:tr>
      <w:tr>
        <w:tc>
          <w:tcPr>
            <w:tcW w:type="dxa" w:w="567"/>
          </w:tcPr>
          <w:p>
            <w:r>
              <w:t>6.</w:t>
            </w:r>
          </w:p>
        </w:tc>
        <w:tc>
          <w:tcPr>
            <w:tcW w:type="dxa" w:w="3135"/>
          </w:tcPr>
          <w:p>
            <w:r>
              <w:t>Estructura Financiera</w:t>
            </w:r>
          </w:p>
        </w:tc>
        <w:tc>
          <w:tcPr>
            <w:tcW w:type="dxa" w:w="850"/>
          </w:tcPr>
          <w:p>
            <w:pPr>
              <w:jc w:val="right"/>
            </w:pPr>
            <w:r>
              <w:t>8</w:t>
            </w:r>
          </w:p>
        </w:tc>
      </w:tr>
      <w:tr>
        <w:tc>
          <w:tcPr>
            <w:tcW w:type="dxa" w:w="567"/>
          </w:tcPr>
          <w:p>
            <w:r>
              <w:t>7.</w:t>
            </w:r>
          </w:p>
        </w:tc>
        <w:tc>
          <w:tcPr>
            <w:tcW w:type="dxa" w:w="3135"/>
          </w:tcPr>
          <w:p>
            <w:r>
              <w:t>Cronograma de Ejecucion</w:t>
            </w:r>
          </w:p>
        </w:tc>
        <w:tc>
          <w:tcPr>
            <w:tcW w:type="dxa" w:w="850"/>
          </w:tcPr>
          <w:p>
            <w:pPr>
              <w:jc w:val="right"/>
            </w:pPr>
            <w:r>
              <w:t>9</w:t>
            </w:r>
          </w:p>
        </w:tc>
      </w:tr>
      <w:tr>
        <w:tc>
          <w:tcPr>
            <w:tcW w:type="dxa" w:w="567"/>
          </w:tcPr>
          <w:p>
            <w:r>
              <w:t>8.</w:t>
            </w:r>
          </w:p>
        </w:tc>
        <w:tc>
          <w:tcPr>
            <w:tcW w:type="dxa" w:w="3135"/>
          </w:tcPr>
          <w:p>
            <w:r>
              <w:t>Impacto Social y Economico</w:t>
            </w:r>
          </w:p>
        </w:tc>
        <w:tc>
          <w:tcPr>
            <w:tcW w:type="dxa" w:w="850"/>
          </w:tcPr>
          <w:p>
            <w:pPr>
              <w:jc w:val="right"/>
            </w:pPr>
            <w:r>
              <w:t>10</w:t>
            </w:r>
          </w:p>
        </w:tc>
      </w:tr>
      <w:tr>
        <w:tc>
          <w:tcPr>
            <w:tcW w:type="dxa" w:w="567"/>
          </w:tcPr>
          <w:p>
            <w:r>
              <w:t>9.</w:t>
            </w:r>
          </w:p>
        </w:tc>
        <w:tc>
          <w:tcPr>
            <w:tcW w:type="dxa" w:w="3135"/>
          </w:tcPr>
          <w:p>
            <w:r>
              <w:t>Gobernanza y Transparencia</w:t>
            </w:r>
          </w:p>
        </w:tc>
        <w:tc>
          <w:tcPr>
            <w:tcW w:type="dxa" w:w="850"/>
          </w:tcPr>
          <w:p>
            <w:pPr>
              <w:jc w:val="right"/>
            </w:pPr>
            <w:r>
              <w:t>11</w:t>
            </w:r>
          </w:p>
        </w:tc>
      </w:tr>
      <w:tr>
        <w:tc>
          <w:tcPr>
            <w:tcW w:type="dxa" w:w="567"/>
          </w:tcPr>
          <w:p>
            <w:r>
              <w:t>10.</w:t>
            </w:r>
          </w:p>
        </w:tc>
        <w:tc>
          <w:tcPr>
            <w:tcW w:type="dxa" w:w="3135"/>
          </w:tcPr>
          <w:p>
            <w:r>
              <w:t>Solicitud de Aprobacion</w:t>
            </w:r>
          </w:p>
        </w:tc>
        <w:tc>
          <w:tcPr>
            <w:tcW w:type="dxa" w:w="850"/>
          </w:tcPr>
          <w:p>
            <w:pPr>
              <w:jc w:val="right"/>
            </w:pPr>
            <w:r>
              <w:t>12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003366"/>
          <w:sz w:val="32"/>
        </w:rPr>
        <w:t>1. RESUMEN EJECUTIVO</w:t>
      </w:r>
    </w:p>
    <w:p>
      <w:pPr>
        <w:spacing w:before="0" w:after="240"/>
      </w:pPr>
      <w:r>
        <w:rPr>
          <w:b/>
        </w:rPr>
        <w:t>Excelentisimo Senor Presidente de la Republica,</w:t>
        <w:br/>
      </w:r>
      <w:r>
        <w:rPr>
          <w:b/>
        </w:rPr>
        <w:t>Lic. Luis Rodolfo Abinader Corona</w:t>
      </w:r>
    </w:p>
    <w:p>
      <w:r>
        <w:t xml:space="preserve">Nos dirigimos respetuosamente a usted para presentar el Programa </w:t>
      </w:r>
      <w:r>
        <w:rPr>
          <w:b/>
          <w:color w:val="006699"/>
        </w:rPr>
        <w:t>Vision Infantil Sana (VIS)</w:t>
      </w:r>
      <w:r>
        <w:t>, una iniciativa sin precedentes en America Latina que transformara la salud visual de los estudiantes dominicanos mediante el uso de inteligencia artificial y tecnologia de diagnostico de ultima generacion.</w:t>
      </w:r>
    </w:p>
    <w:p>
      <w:r>
        <w:t>Este programa representa la materializacion del compromiso de su gobierno con la educacion de calidad y la equidad social, garantizando que ningun nino dominicano vea afectado su rendimiento academico por problemas visuales no detectados.</w:t>
      </w:r>
    </w:p>
    <w:p/>
    <w:p>
      <w:r>
        <w:rPr>
          <w:b/>
        </w:rPr>
        <w:t>CIFRAS CLAVE DEL PROGRAMA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</w:rPr>
              <w:t>Estudiantes Beneficiados</w:t>
            </w:r>
          </w:p>
        </w:tc>
        <w:tc>
          <w:tcPr>
            <w:tcW w:type="dxa" w:w="4703"/>
          </w:tcPr>
          <w:p>
            <w:r>
              <w:t>202,000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Escuelas Intervenidas</w:t>
            </w:r>
          </w:p>
        </w:tc>
        <w:tc>
          <w:tcPr>
            <w:tcW w:type="dxa" w:w="4703"/>
          </w:tcPr>
          <w:p>
            <w:r>
              <w:t>530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Lentes Correctivos Entregados</w:t>
            </w:r>
          </w:p>
        </w:tc>
        <w:tc>
          <w:tcPr>
            <w:tcW w:type="dxa" w:w="4703"/>
          </w:tcPr>
          <w:p>
            <w:r>
              <w:t>30,300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Equipos Moviles de Diagnostico</w:t>
            </w:r>
          </w:p>
        </w:tc>
        <w:tc>
          <w:tcPr>
            <w:tcW w:type="dxa" w:w="4703"/>
          </w:tcPr>
          <w:p>
            <w:r>
              <w:t>6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Costo por Estudiante</w:t>
            </w:r>
          </w:p>
        </w:tc>
        <w:tc>
          <w:tcPr>
            <w:tcW w:type="dxa" w:w="4703"/>
          </w:tcPr>
          <w:p>
            <w:r>
              <w:t>RD$1,476</w:t>
            </w:r>
          </w:p>
        </w:tc>
      </w:tr>
      <w:tr>
        <w:tc>
          <w:tcPr>
            <w:tcW w:type="dxa" w:w="4703"/>
            <w:shd w:fill="1B5E20"/>
          </w:tcPr>
          <w:p>
            <w:r>
              <w:rPr>
                <w:b/>
                <w:color w:val="FFFFFF"/>
              </w:rPr>
              <w:t>Inversion Total</w:t>
            </w:r>
          </w:p>
        </w:tc>
        <w:tc>
          <w:tcPr>
            <w:tcW w:type="dxa" w:w="4703"/>
            <w:shd w:fill="1B5E20"/>
          </w:tcPr>
          <w:p>
            <w:r>
              <w:rPr>
                <w:b/>
                <w:color w:val="FFFFFF"/>
              </w:rPr>
              <w:t>RD$298,635,245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003366"/>
          <w:sz w:val="32"/>
        </w:rPr>
        <w:t>2. CONTEXTO Y JUSTIFICACION</w:t>
      </w:r>
    </w:p>
    <w:p>
      <w:pPr>
        <w:pStyle w:val="Heading2"/>
      </w:pPr>
      <w:r>
        <w:rPr>
          <w:color w:val="005288"/>
          <w:sz w:val="28"/>
        </w:rPr>
        <w:t>2.1 El Problema de Salud Visual en la Ninez Dominicana</w:t>
      </w:r>
    </w:p>
    <w:p>
      <w:r>
        <w:t>Los problemas visuales no detectados representan una de las causas mas importantes de bajo rendimiento escolar y desercion educativa en la Republica Dominicana. Estudios internacionales demuestran que:</w:t>
      </w:r>
    </w:p>
    <w:p>
      <w:pPr>
        <w:pStyle w:val="ListBullet"/>
      </w:pPr>
      <w:r>
        <w:t>El 15% de los estudiantes en edad escolar presenta algun tipo de deficiencia visual no diagnosticada.</w:t>
      </w:r>
    </w:p>
    <w:p>
      <w:pPr>
        <w:pStyle w:val="ListBullet"/>
      </w:pPr>
      <w:r>
        <w:t>El 85% de los estudiantes de escuelas publicas nunca ha recibido una evaluacion visual profesional.</w:t>
      </w:r>
    </w:p>
    <w:p>
      <w:pPr>
        <w:pStyle w:val="ListBullet"/>
      </w:pPr>
      <w:r>
        <w:t>Los estudiantes con problemas visuales no corregidos tienen 3 veces mas probabilidad de repetir grado.</w:t>
      </w:r>
    </w:p>
    <w:p>
      <w:pPr>
        <w:pStyle w:val="ListBullet"/>
      </w:pPr>
      <w:r>
        <w:t>La desercion escolar asociada a problemas de vision afecta desproporcionadamente a familias de bajos ingresos.</w:t>
      </w:r>
    </w:p>
    <w:p>
      <w:pPr>
        <w:pStyle w:val="Heading2"/>
      </w:pPr>
      <w:r>
        <w:rPr>
          <w:color w:val="005288"/>
          <w:sz w:val="28"/>
        </w:rPr>
        <w:t>2.2 Alineacion con Politicas de Gobierno</w:t>
      </w:r>
    </w:p>
    <w:p>
      <w:r>
        <w:rPr>
          <w:b/>
        </w:rPr>
        <w:t>El Programa VIS se alinea directamente con:</w:t>
      </w:r>
    </w:p>
    <w:p>
      <w:r>
        <w:rPr>
          <w:b/>
        </w:rPr>
        <w:t xml:space="preserve">Plan Nacional de Salud 2023-2030: </w:t>
      </w:r>
      <w:r>
        <w:t>Componente de salud escolar y medicina preventiva.</w:t>
      </w:r>
    </w:p>
    <w:p>
      <w:r>
        <w:rPr>
          <w:b/>
        </w:rPr>
        <w:t xml:space="preserve">Estrategia Nacional de Desarrollo 2030: </w:t>
      </w:r>
      <w:r>
        <w:t>Eje 2: Educacion de calidad para todos.</w:t>
      </w:r>
    </w:p>
    <w:p>
      <w:r>
        <w:rPr>
          <w:b/>
        </w:rPr>
        <w:t xml:space="preserve">Objetivos de Desarrollo Sostenible: </w:t>
      </w:r>
      <w:r>
        <w:t>ODS 3 (Salud) y ODS 4 (Educacion de calidad).</w:t>
      </w:r>
    </w:p>
    <w:p>
      <w:r>
        <w:rPr>
          <w:b/>
        </w:rPr>
        <w:t xml:space="preserve">Pacto Nacional por la Educacion: </w:t>
      </w:r>
      <w:r>
        <w:t>Compromiso con la permanencia y exito escolar.</w:t>
      </w:r>
    </w:p>
    <w:p>
      <w:r>
        <w:br w:type="page"/>
      </w:r>
    </w:p>
    <w:p>
      <w:pPr>
        <w:pStyle w:val="Heading1"/>
      </w:pPr>
      <w:r>
        <w:rPr>
          <w:color w:val="003366"/>
          <w:sz w:val="32"/>
        </w:rPr>
        <w:t>3. DESCRIPCION DEL PROGRAMA</w:t>
      </w:r>
    </w:p>
    <w:p>
      <w:pPr>
        <w:pStyle w:val="Heading2"/>
      </w:pPr>
      <w:r>
        <w:rPr>
          <w:color w:val="005288"/>
          <w:sz w:val="28"/>
        </w:rPr>
        <w:t>3.1 Objetivo General</w:t>
      </w:r>
    </w:p>
    <w:p>
      <w:r>
        <w:t>Garantizar la salud visual de 202,000 estudiantes de escuelas publicas en las provincias de Santo Domingo y Santiago, mediante evaluaciones optometricas con tecnologia de inteligencia artificial y la entrega gratuita de lentes correctivos a quienes los necesiten.</w:t>
      </w:r>
    </w:p>
    <w:p>
      <w:pPr>
        <w:pStyle w:val="Heading2"/>
      </w:pPr>
      <w:r>
        <w:rPr>
          <w:color w:val="005288"/>
          <w:sz w:val="28"/>
        </w:rPr>
        <w:t>3.2 Objetivos Especificos</w:t>
      </w:r>
    </w:p>
    <w:p>
      <w:pPr>
        <w:pStyle w:val="ListBullet"/>
      </w:pPr>
      <w:r>
        <w:t>Realizar tamizaje visual al 100% de la poblacion objetivo en 530 escuelas publicas.</w:t>
      </w:r>
    </w:p>
    <w:p>
      <w:pPr>
        <w:pStyle w:val="ListBullet"/>
      </w:pPr>
      <w:r>
        <w:t>Detectar y diagnosticar problemas visuales en etapa temprana con precision del 99%.</w:t>
      </w:r>
    </w:p>
    <w:p>
      <w:pPr>
        <w:pStyle w:val="ListBullet"/>
      </w:pPr>
      <w:r>
        <w:t>Fabricar y entregar 30,300 lentes correctivos personalizados sin costo para las familias.</w:t>
      </w:r>
    </w:p>
    <w:p>
      <w:pPr>
        <w:pStyle w:val="ListBullet"/>
      </w:pPr>
      <w:r>
        <w:t>Crear un registro digital de salud visual escolar con trazabilidad blockchain.</w:t>
      </w:r>
    </w:p>
    <w:p>
      <w:pPr>
        <w:pStyle w:val="ListBullet"/>
      </w:pPr>
      <w:r>
        <w:t>Establecer un modelo replicable para expansion nacional en anos posteriores.</w:t>
      </w:r>
    </w:p>
    <w:p>
      <w:pPr>
        <w:pStyle w:val="Heading2"/>
      </w:pPr>
      <w:r>
        <w:rPr>
          <w:color w:val="005288"/>
          <w:sz w:val="28"/>
        </w:rPr>
        <w:t>3.3 Fases del Programa</w:t>
      </w:r>
    </w:p>
    <w:p>
      <w:r>
        <w:rPr>
          <w:b/>
        </w:rPr>
        <w:t>FASE 1: Evaluacion Visual (121 dias)</w:t>
      </w:r>
    </w:p>
    <w:p>
      <w:pPr>
        <w:ind w:left="283"/>
      </w:pPr>
      <w:r>
        <w:t>Seis equipos moviles visitaran 530 escuelas realizando evaluaciones optometricas con autorefractometros portatiles asistidos por IA. Capacidad: 1,680 estudiantes/dia.</w:t>
      </w:r>
    </w:p>
    <w:p>
      <w:r>
        <w:rPr>
          <w:b/>
        </w:rPr>
        <w:t>FASE 2: Fabricacion de Lentes (30-45 dias, paralelo)</w:t>
      </w:r>
    </w:p>
    <w:p>
      <w:pPr>
        <w:ind w:left="283"/>
      </w:pPr>
      <w:r>
        <w:t>Produccion de 30,300 lentes correctivos en laboratorio nacional certificado ISO. Cada lente es personalizado segun la prescripcion individual del estudiante.</w:t>
      </w:r>
    </w:p>
    <w:p>
      <w:r>
        <w:rPr>
          <w:b/>
        </w:rPr>
        <w:t>FASE 3: Entrega y Seguimiento (71 dias)</w:t>
      </w:r>
    </w:p>
    <w:p>
      <w:pPr>
        <w:ind w:left="283"/>
      </w:pPr>
      <w:r>
        <w:t>Entrega personalizada en cada escuela con ajuste profesional de monturas, capacitacion en cuidado de lentes y registro digital del beneficiario.</w:t>
      </w:r>
    </w:p>
    <w:p>
      <w:r>
        <w:br w:type="page"/>
      </w:r>
    </w:p>
    <w:p>
      <w:pPr>
        <w:pStyle w:val="Heading1"/>
      </w:pPr>
      <w:r>
        <w:rPr>
          <w:color w:val="003366"/>
          <w:sz w:val="32"/>
        </w:rPr>
        <w:t>4. TECNOLOGIA E INNOVACION</w:t>
      </w:r>
    </w:p>
    <w:p>
      <w:r>
        <w:t>El Programa VIS incorpora tecnologias de vanguardia que posicionan a la Republica Dominicana como lider regional en salud visual escolar:</w:t>
      </w:r>
    </w:p>
    <w:p>
      <w:pPr>
        <w:pStyle w:val="Heading2"/>
      </w:pPr>
      <w:r>
        <w:rPr>
          <w:color w:val="005288"/>
          <w:sz w:val="28"/>
        </w:rPr>
        <w:t>4.1 Inteligencia Artificial para Diagnostico</w:t>
      </w:r>
    </w:p>
    <w:p>
      <w:r>
        <w:t>Utilizamos autorefractometros portatiles de ultima generacion equipados con algoritmos de inteligencia artificial que:</w:t>
      </w:r>
    </w:p>
    <w:p>
      <w:pPr>
        <w:pStyle w:val="ListBullet"/>
      </w:pPr>
      <w:r>
        <w:t>Detectan errores refractivos (miopia, hipermetropia, astigmatismo) con precision del 99%.</w:t>
      </w:r>
    </w:p>
    <w:p>
      <w:pPr>
        <w:pStyle w:val="ListBullet"/>
      </w:pPr>
      <w:r>
        <w:t>Identifican senales tempranas de condiciones oculares que requieren atencion especializada.</w:t>
      </w:r>
    </w:p>
    <w:p>
      <w:pPr>
        <w:pStyle w:val="ListBullet"/>
      </w:pPr>
      <w:r>
        <w:t>Generan prescripciones automaticas validadas por optometristas certificados.</w:t>
      </w:r>
    </w:p>
    <w:p>
      <w:pPr>
        <w:pStyle w:val="ListBullet"/>
      </w:pPr>
      <w:r>
        <w:t>Procesan evaluaciones en menos de 60 segundos por estudiante.</w:t>
      </w:r>
    </w:p>
    <w:p>
      <w:pPr>
        <w:pStyle w:val="Heading2"/>
      </w:pPr>
      <w:r>
        <w:rPr>
          <w:color w:val="005288"/>
          <w:sz w:val="28"/>
        </w:rPr>
        <w:t>4.2 Plataforma Digital VIS-Finance</w:t>
      </w:r>
    </w:p>
    <w:p>
      <w:r>
        <w:t>Sistema integral desarrollado especificamente para este programa que incluye:</w:t>
      </w:r>
    </w:p>
    <w:p>
      <w:pPr>
        <w:pStyle w:val="ListBullet"/>
      </w:pPr>
      <w:r>
        <w:t>Dashboard de monitoreo en tiempo real con KPIs de cobertura y eficiencia.</w:t>
      </w:r>
    </w:p>
    <w:p>
      <w:pPr>
        <w:pStyle w:val="ListBullet"/>
      </w:pPr>
      <w:r>
        <w:t>Gestion de escenarios financieros con proyeccion automatica de costos.</w:t>
      </w:r>
    </w:p>
    <w:p>
      <w:pPr>
        <w:pStyle w:val="ListBullet"/>
      </w:pPr>
      <w:r>
        <w:t>Trazabilidad completa desde evaluacion hasta entrega de lentes.</w:t>
      </w:r>
    </w:p>
    <w:p>
      <w:pPr>
        <w:pStyle w:val="ListBullet"/>
      </w:pPr>
      <w:r>
        <w:t>Reportes ejecutivos para rendicion de cuentas y transparencia.</w:t>
      </w:r>
    </w:p>
    <w:p>
      <w:pPr>
        <w:pStyle w:val="Heading2"/>
      </w:pPr>
      <w:r>
        <w:rPr>
          <w:color w:val="005288"/>
          <w:sz w:val="28"/>
        </w:rPr>
        <w:t>4.3 Registro Blockchain</w:t>
      </w:r>
    </w:p>
    <w:p>
      <w:r>
        <w:t>Cada evaluacion y entrega de lentes queda registrada en blockchain, garantizando:</w:t>
      </w:r>
    </w:p>
    <w:p>
      <w:pPr>
        <w:pStyle w:val="ListBullet"/>
      </w:pPr>
      <w:r>
        <w:t>Inmutabilidad de los registros medicos.</w:t>
      </w:r>
    </w:p>
    <w:p>
      <w:pPr>
        <w:pStyle w:val="ListBullet"/>
      </w:pPr>
      <w:r>
        <w:t>Transparencia total en el uso de recursos publicos.</w:t>
      </w:r>
    </w:p>
    <w:p>
      <w:pPr>
        <w:pStyle w:val="ListBullet"/>
      </w:pPr>
      <w:r>
        <w:t>Verificacion independiente de beneficiarios.</w:t>
      </w:r>
    </w:p>
    <w:p>
      <w:pPr>
        <w:pStyle w:val="ListBullet"/>
      </w:pPr>
      <w:r>
        <w:t>Prevencion de duplicidad y fraude.</w:t>
      </w:r>
    </w:p>
    <w:p>
      <w:r>
        <w:br w:type="page"/>
      </w:r>
    </w:p>
    <w:p>
      <w:pPr>
        <w:pStyle w:val="Heading1"/>
      </w:pPr>
      <w:r>
        <w:rPr>
          <w:color w:val="003366"/>
          <w:sz w:val="32"/>
        </w:rPr>
        <w:t>5. COBERTURA GEOGRAFICA</w:t>
      </w:r>
    </w:p>
    <w:p>
      <w:r>
        <w:t>El programa cubre estrategicamente las dos provincias con mayor poblacion estudiantil del pais, representando un impacto significativo en el Gran Santo Domingo y la Region del Cibao.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E3A5F"/>
          </w:tcPr>
          <w:p>
            <w:r>
              <w:rPr>
                <w:b/>
                <w:color w:val="FFFFFF"/>
              </w:rPr>
              <w:t>Provincia</w:t>
            </w:r>
          </w:p>
        </w:tc>
        <w:tc>
          <w:tcPr>
            <w:tcW w:type="dxa" w:w="1881"/>
            <w:shd w:fill="1E3A5F"/>
          </w:tcPr>
          <w:p>
            <w:r>
              <w:rPr>
                <w:b/>
                <w:color w:val="FFFFFF"/>
              </w:rPr>
              <w:t>Estudiantes</w:t>
            </w:r>
          </w:p>
        </w:tc>
        <w:tc>
          <w:tcPr>
            <w:tcW w:type="dxa" w:w="1881"/>
            <w:shd w:fill="1E3A5F"/>
          </w:tcPr>
          <w:p>
            <w:r>
              <w:rPr>
                <w:b/>
                <w:color w:val="FFFFFF"/>
              </w:rPr>
              <w:t>Escuelas</w:t>
            </w:r>
          </w:p>
        </w:tc>
        <w:tc>
          <w:tcPr>
            <w:tcW w:type="dxa" w:w="1881"/>
            <w:shd w:fill="1E3A5F"/>
          </w:tcPr>
          <w:p>
            <w:r>
              <w:rPr>
                <w:b/>
                <w:color w:val="FFFFFF"/>
              </w:rPr>
              <w:t>Dias</w:t>
            </w:r>
          </w:p>
        </w:tc>
        <w:tc>
          <w:tcPr>
            <w:tcW w:type="dxa" w:w="1881"/>
            <w:shd w:fill="1E3A5F"/>
          </w:tcPr>
          <w:p>
            <w:r>
              <w:rPr>
                <w:b/>
                <w:color w:val="FFFFFF"/>
              </w:rPr>
              <w:t>Lentes Est.</w:t>
            </w:r>
          </w:p>
        </w:tc>
      </w:tr>
      <w:tr>
        <w:tc>
          <w:tcPr>
            <w:tcW w:type="dxa" w:w="1881"/>
          </w:tcPr>
          <w:p>
            <w:r>
              <w:t>Santo Domingo</w:t>
            </w:r>
          </w:p>
        </w:tc>
        <w:tc>
          <w:tcPr>
            <w:tcW w:type="dxa" w:w="1881"/>
          </w:tcPr>
          <w:p>
            <w:r>
              <w:t>122,000</w:t>
            </w:r>
          </w:p>
        </w:tc>
        <w:tc>
          <w:tcPr>
            <w:tcW w:type="dxa" w:w="1881"/>
          </w:tcPr>
          <w:p>
            <w:r>
              <w:t>258</w:t>
            </w:r>
          </w:p>
        </w:tc>
        <w:tc>
          <w:tcPr>
            <w:tcW w:type="dxa" w:w="1881"/>
          </w:tcPr>
          <w:p>
            <w:r>
              <w:t>73</w:t>
            </w:r>
          </w:p>
        </w:tc>
        <w:tc>
          <w:tcPr>
            <w:tcW w:type="dxa" w:w="1881"/>
          </w:tcPr>
          <w:p>
            <w:r>
              <w:t>18,300</w:t>
            </w:r>
          </w:p>
        </w:tc>
      </w:tr>
      <w:tr>
        <w:tc>
          <w:tcPr>
            <w:tcW w:type="dxa" w:w="1881"/>
          </w:tcPr>
          <w:p>
            <w:r>
              <w:t>Santiago</w:t>
            </w:r>
          </w:p>
        </w:tc>
        <w:tc>
          <w:tcPr>
            <w:tcW w:type="dxa" w:w="1881"/>
          </w:tcPr>
          <w:p>
            <w:r>
              <w:t>80,000</w:t>
            </w:r>
          </w:p>
        </w:tc>
        <w:tc>
          <w:tcPr>
            <w:tcW w:type="dxa" w:w="1881"/>
          </w:tcPr>
          <w:p>
            <w:r>
              <w:t>272</w:t>
            </w:r>
          </w:p>
        </w:tc>
        <w:tc>
          <w:tcPr>
            <w:tcW w:type="dxa" w:w="1881"/>
          </w:tcPr>
          <w:p>
            <w:r>
              <w:t>48</w:t>
            </w:r>
          </w:p>
        </w:tc>
        <w:tc>
          <w:tcPr>
            <w:tcW w:type="dxa" w:w="1881"/>
          </w:tcPr>
          <w:p>
            <w:r>
              <w:t>12,000</w:t>
            </w:r>
          </w:p>
        </w:tc>
      </w:tr>
      <w:tr>
        <w:tc>
          <w:tcPr>
            <w:tcW w:type="dxa" w:w="1881"/>
            <w:shd w:fill="E3F2FD"/>
          </w:tcPr>
          <w:p>
            <w:r>
              <w:rPr>
                <w:b/>
              </w:rPr>
              <w:t>TOTAL</w:t>
            </w:r>
          </w:p>
        </w:tc>
        <w:tc>
          <w:tcPr>
            <w:tcW w:type="dxa" w:w="1881"/>
            <w:shd w:fill="E3F2FD"/>
          </w:tcPr>
          <w:p>
            <w:r>
              <w:rPr>
                <w:b/>
              </w:rPr>
              <w:t>202,000</w:t>
            </w:r>
          </w:p>
        </w:tc>
        <w:tc>
          <w:tcPr>
            <w:tcW w:type="dxa" w:w="1881"/>
            <w:shd w:fill="E3F2FD"/>
          </w:tcPr>
          <w:p>
            <w:r>
              <w:rPr>
                <w:b/>
              </w:rPr>
              <w:t>530</w:t>
            </w:r>
          </w:p>
        </w:tc>
        <w:tc>
          <w:tcPr>
            <w:tcW w:type="dxa" w:w="1881"/>
            <w:shd w:fill="E3F2FD"/>
          </w:tcPr>
          <w:p>
            <w:r>
              <w:rPr>
                <w:b/>
              </w:rPr>
              <w:t>121</w:t>
            </w:r>
          </w:p>
        </w:tc>
        <w:tc>
          <w:tcPr>
            <w:tcW w:type="dxa" w:w="1881"/>
            <w:shd w:fill="E3F2FD"/>
          </w:tcPr>
          <w:p>
            <w:r>
              <w:rPr>
                <w:b/>
              </w:rPr>
              <w:t>30,300</w:t>
            </w:r>
          </w:p>
        </w:tc>
      </w:tr>
    </w:tbl>
    <w:p/>
    <w:p>
      <w:pPr>
        <w:pStyle w:val="Heading2"/>
      </w:pPr>
      <w:r>
        <w:rPr>
          <w:color w:val="005288"/>
          <w:sz w:val="28"/>
        </w:rPr>
        <w:t>5.1 Santo Domingo</w:t>
      </w:r>
    </w:p>
    <w:p>
      <w:r>
        <w:rPr>
          <w:b/>
        </w:rPr>
        <w:t xml:space="preserve">Capital de la Republica y provincia mas poblada. </w:t>
      </w:r>
      <w:r>
        <w:t>Concentra el 27% de la poblacion estudiantil objetivo. Operacion sin hospedaje requerido, lo que optimiza costos operativos. Incluye los distritos educativos de mayor densidad poblacional.</w:t>
      </w:r>
    </w:p>
    <w:p>
      <w:pPr>
        <w:pStyle w:val="Heading2"/>
      </w:pPr>
      <w:r>
        <w:rPr>
          <w:color w:val="005288"/>
          <w:sz w:val="28"/>
        </w:rPr>
        <w:t>5.2 Santiago</w:t>
      </w:r>
    </w:p>
    <w:p>
      <w:r>
        <w:rPr>
          <w:b/>
        </w:rPr>
        <w:t xml:space="preserve">Segunda ciudad del pais y capital del Cibao. </w:t>
      </w:r>
      <w:r>
        <w:t>Representa el 50% de la poblacion estudiantil de la provincia. Requiere logistica de hospedaje para equipos moviles. Distancia desde Santo Domingo: 155 km por Autopista Duarte.</w:t>
      </w:r>
    </w:p>
    <w:p>
      <w:r>
        <w:br w:type="page"/>
      </w:r>
    </w:p>
    <w:p>
      <w:pPr>
        <w:pStyle w:val="Heading1"/>
      </w:pPr>
      <w:r>
        <w:rPr>
          <w:color w:val="003366"/>
          <w:sz w:val="32"/>
        </w:rPr>
        <w:t>6. ESTRUCTURA FINANCIERA</w:t>
      </w:r>
    </w:p>
    <w:p>
      <w:r>
        <w:t xml:space="preserve">La inversion total del programa asciende a </w:t>
      </w:r>
      <w:r>
        <w:rPr>
          <w:b/>
          <w:color w:val="006400"/>
        </w:rPr>
        <w:t>RD$298,635,245</w:t>
      </w:r>
      <w:r>
        <w:t>, estructurada de manera eficiente para maximizar el impacto social con total transparencia en el uso de recursos publicos.</w:t>
      </w:r>
    </w:p>
    <w:p/>
    <w:p>
      <w:pPr>
        <w:pStyle w:val="Heading2"/>
      </w:pPr>
      <w:r>
        <w:rPr>
          <w:color w:val="005288"/>
          <w:sz w:val="28"/>
        </w:rPr>
        <w:t>6.1 Desglose por Partidas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E3A5F"/>
          </w:tcPr>
          <w:p>
            <w:r>
              <w:rPr>
                <w:b/>
                <w:color w:val="FFFFFF"/>
              </w:rPr>
              <w:t>Partida</w:t>
            </w:r>
          </w:p>
        </w:tc>
        <w:tc>
          <w:tcPr>
            <w:tcW w:type="dxa" w:w="3135"/>
            <w:shd w:fill="1E3A5F"/>
          </w:tcPr>
          <w:p>
            <w:r>
              <w:rPr>
                <w:b/>
                <w:color w:val="FFFFFF"/>
              </w:rPr>
              <w:t>Concepto</w:t>
            </w:r>
          </w:p>
        </w:tc>
        <w:tc>
          <w:tcPr>
            <w:tcW w:type="dxa" w:w="3135"/>
            <w:shd w:fill="1E3A5F"/>
          </w:tcPr>
          <w:p>
            <w:r>
              <w:rPr>
                <w:b/>
                <w:color w:val="FFFFFF"/>
              </w:rPr>
              <w:t>Monto (RD$)</w:t>
            </w:r>
          </w:p>
        </w:tc>
      </w:tr>
      <w:tr>
        <w:tc>
          <w:tcPr>
            <w:tcW w:type="dxa" w:w="3135"/>
          </w:tcPr>
          <w:p>
            <w:r>
              <w:t>1</w:t>
            </w:r>
          </w:p>
        </w:tc>
        <w:tc>
          <w:tcPr>
            <w:tcW w:type="dxa" w:w="3135"/>
          </w:tcPr>
          <w:p>
            <w:r>
              <w:t>CAPEX - Equipamiento (6 equipos)</w:t>
            </w:r>
          </w:p>
        </w:tc>
        <w:tc>
          <w:tcPr>
            <w:tcW w:type="dxa" w:w="3135"/>
          </w:tcPr>
          <w:p>
            <w:r>
              <w:t>RD$3,537,000</w:t>
            </w:r>
          </w:p>
        </w:tc>
      </w:tr>
      <w:tr>
        <w:tc>
          <w:tcPr>
            <w:tcW w:type="dxa" w:w="3135"/>
          </w:tcPr>
          <w:p>
            <w:r>
              <w:t>2</w:t>
            </w:r>
          </w:p>
        </w:tc>
        <w:tc>
          <w:tcPr>
            <w:tcW w:type="dxa" w:w="3135"/>
          </w:tcPr>
          <w:p>
            <w:r>
              <w:t>OPEX Fase 1 - Evaluacion Visual</w:t>
            </w:r>
          </w:p>
        </w:tc>
        <w:tc>
          <w:tcPr>
            <w:tcW w:type="dxa" w:w="3135"/>
          </w:tcPr>
          <w:p>
            <w:r>
              <w:t>RD$23,114,080</w:t>
            </w:r>
          </w:p>
        </w:tc>
      </w:tr>
      <w:tr>
        <w:tc>
          <w:tcPr>
            <w:tcW w:type="dxa" w:w="3135"/>
          </w:tcPr>
          <w:p>
            <w:r>
              <w:t>3a</w:t>
            </w:r>
          </w:p>
        </w:tc>
        <w:tc>
          <w:tcPr>
            <w:tcW w:type="dxa" w:w="3135"/>
          </w:tcPr>
          <w:p>
            <w:r>
              <w:t>Fabricacion de Lentes (30,300 unidades)</w:t>
            </w:r>
          </w:p>
        </w:tc>
        <w:tc>
          <w:tcPr>
            <w:tcW w:type="dxa" w:w="3135"/>
          </w:tcPr>
          <w:p>
            <w:r>
              <w:t>RD$181,800,000</w:t>
            </w:r>
          </w:p>
        </w:tc>
      </w:tr>
      <w:tr>
        <w:tc>
          <w:tcPr>
            <w:tcW w:type="dxa" w:w="3135"/>
          </w:tcPr>
          <w:p>
            <w:r>
              <w:t>3b</w:t>
            </w:r>
          </w:p>
        </w:tc>
        <w:tc>
          <w:tcPr>
            <w:tcW w:type="dxa" w:w="3135"/>
          </w:tcPr>
          <w:p>
            <w:r>
              <w:t>ITEBIS 18% sobre fabricacion</w:t>
            </w:r>
          </w:p>
        </w:tc>
        <w:tc>
          <w:tcPr>
            <w:tcW w:type="dxa" w:w="3135"/>
          </w:tcPr>
          <w:p>
            <w:r>
              <w:t>RD$32,724,000</w:t>
            </w:r>
          </w:p>
        </w:tc>
      </w:tr>
      <w:tr>
        <w:tc>
          <w:tcPr>
            <w:tcW w:type="dxa" w:w="3135"/>
          </w:tcPr>
          <w:p>
            <w:r>
              <w:t>3c</w:t>
            </w:r>
          </w:p>
        </w:tc>
        <w:tc>
          <w:tcPr>
            <w:tcW w:type="dxa" w:w="3135"/>
          </w:tcPr>
          <w:p>
            <w:r>
              <w:t>Gastos Diversos 15%</w:t>
            </w:r>
          </w:p>
        </w:tc>
        <w:tc>
          <w:tcPr>
            <w:tcW w:type="dxa" w:w="3135"/>
          </w:tcPr>
          <w:p>
            <w:r>
              <w:t>RD$27,270,000</w:t>
            </w:r>
          </w:p>
        </w:tc>
      </w:tr>
      <w:tr>
        <w:tc>
          <w:tcPr>
            <w:tcW w:type="dxa" w:w="3135"/>
          </w:tcPr>
          <w:p>
            <w:r>
              <w:t>4</w:t>
            </w:r>
          </w:p>
        </w:tc>
        <w:tc>
          <w:tcPr>
            <w:tcW w:type="dxa" w:w="3135"/>
          </w:tcPr>
          <w:p>
            <w:r>
              <w:t>OPEX Fase 3 - Entrega</w:t>
            </w:r>
          </w:p>
        </w:tc>
        <w:tc>
          <w:tcPr>
            <w:tcW w:type="dxa" w:w="3135"/>
          </w:tcPr>
          <w:p>
            <w:r>
              <w:t>RD$10,653,280</w:t>
            </w:r>
          </w:p>
        </w:tc>
      </w:tr>
      <w:tr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</w:tr>
      <w:tr>
        <w:tc>
          <w:tcPr>
            <w:tcW w:type="dxa" w:w="3135"/>
            <w:shd w:fill="E8F5E9"/>
          </w:tcPr>
          <w:p>
            <w:r>
              <w:rPr>
                <w:b/>
              </w:rPr>
            </w:r>
          </w:p>
        </w:tc>
        <w:tc>
          <w:tcPr>
            <w:tcW w:type="dxa" w:w="3135"/>
            <w:shd w:fill="E8F5E9"/>
          </w:tcPr>
          <w:p>
            <w:r>
              <w:rPr>
                <w:b/>
              </w:rPr>
              <w:t>SUBTOTAL</w:t>
            </w:r>
          </w:p>
        </w:tc>
        <w:tc>
          <w:tcPr>
            <w:tcW w:type="dxa" w:w="3135"/>
            <w:shd w:fill="E8F5E9"/>
          </w:tcPr>
          <w:p>
            <w:r>
              <w:rPr>
                <w:b/>
              </w:rPr>
              <w:t>RD$279,098,360</w:t>
            </w:r>
          </w:p>
        </w:tc>
      </w:tr>
      <w:tr>
        <w:tc>
          <w:tcPr>
            <w:tcW w:type="dxa" w:w="3135"/>
          </w:tcPr>
          <w:p>
            <w:r>
              <w:t>5</w:t>
            </w:r>
          </w:p>
        </w:tc>
        <w:tc>
          <w:tcPr>
            <w:tcW w:type="dxa" w:w="3135"/>
          </w:tcPr>
          <w:p>
            <w:r>
              <w:t>Contingencias 7%</w:t>
            </w:r>
          </w:p>
        </w:tc>
        <w:tc>
          <w:tcPr>
            <w:tcW w:type="dxa" w:w="3135"/>
          </w:tcPr>
          <w:p>
            <w:r>
              <w:t>RD$19,509,837</w:t>
            </w:r>
          </w:p>
        </w:tc>
      </w:tr>
      <w:tr>
        <w:tc>
          <w:tcPr>
            <w:tcW w:type="dxa" w:w="3135"/>
            <w:shd w:fill="1B5E20"/>
          </w:tcPr>
          <w:p>
            <w:r>
              <w:rPr>
                <w:b/>
                <w:color w:val="FFFFFF"/>
              </w:rPr>
            </w:r>
          </w:p>
        </w:tc>
        <w:tc>
          <w:tcPr>
            <w:tcW w:type="dxa" w:w="3135"/>
            <w:shd w:fill="1B5E20"/>
          </w:tcPr>
          <w:p>
            <w:r>
              <w:rPr>
                <w:b/>
                <w:color w:val="FFFFFF"/>
              </w:rPr>
              <w:t>INVERSION TOTAL</w:t>
            </w:r>
          </w:p>
        </w:tc>
        <w:tc>
          <w:tcPr>
            <w:tcW w:type="dxa" w:w="3135"/>
            <w:shd w:fill="1B5E20"/>
          </w:tcPr>
          <w:p>
            <w:r>
              <w:rPr>
                <w:b/>
                <w:color w:val="FFFFFF"/>
              </w:rPr>
              <w:t>RD$298,635,245</w:t>
            </w:r>
          </w:p>
        </w:tc>
      </w:tr>
    </w:tbl>
    <w:p/>
    <w:p>
      <w:pPr>
        <w:pStyle w:val="Heading2"/>
      </w:pPr>
      <w:r>
        <w:rPr>
          <w:color w:val="005288"/>
          <w:sz w:val="28"/>
        </w:rPr>
        <w:t>6.2 Distribucion Porcentual</w:t>
      </w:r>
    </w:p>
    <w:p>
      <w:r>
        <w:rPr>
          <w:b/>
        </w:rPr>
        <w:t xml:space="preserve">Fabricacion de lentes (con impuestos): </w:t>
      </w:r>
      <w:r>
        <w:t>81%</w:t>
      </w:r>
    </w:p>
    <w:p>
      <w:r>
        <w:rPr>
          <w:b/>
        </w:rPr>
        <w:t xml:space="preserve">Operaciones de evaluacion (OPEX F1): </w:t>
      </w:r>
      <w:r>
        <w:t>8%</w:t>
      </w:r>
    </w:p>
    <w:p>
      <w:r>
        <w:rPr>
          <w:b/>
        </w:rPr>
        <w:t xml:space="preserve">Contingencias: </w:t>
      </w:r>
      <w:r>
        <w:t>7%</w:t>
      </w:r>
    </w:p>
    <w:p>
      <w:r>
        <w:rPr>
          <w:b/>
        </w:rPr>
        <w:t xml:space="preserve">Operaciones de entrega (OPEX F3): </w:t>
      </w:r>
      <w:r>
        <w:t>3%</w:t>
      </w:r>
    </w:p>
    <w:p>
      <w:r>
        <w:rPr>
          <w:b/>
        </w:rPr>
        <w:t xml:space="preserve">Equipamiento (CAPEX): </w:t>
      </w:r>
      <w:r>
        <w:t>1%</w:t>
      </w:r>
    </w:p>
    <w:p>
      <w:r>
        <w:br w:type="page"/>
      </w:r>
    </w:p>
    <w:p>
      <w:pPr>
        <w:pStyle w:val="Heading1"/>
      </w:pPr>
      <w:r>
        <w:rPr>
          <w:color w:val="003366"/>
          <w:sz w:val="32"/>
        </w:rPr>
        <w:t>7. CRONOGRAMA DE EJECUCION</w:t>
      </w:r>
    </w:p>
    <w:p>
      <w:r>
        <w:rPr>
          <w:b/>
        </w:rPr>
        <w:t>Duracion total: 192 dias operativos</w:t>
      </w:r>
      <w:r>
        <w:t xml:space="preserve"> (de 198 dias disponibles en el ano fiscal)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E3A5F"/>
          </w:tcPr>
          <w:p>
            <w:r>
              <w:rPr>
                <w:b/>
                <w:color w:val="FFFFFF"/>
              </w:rPr>
              <w:t>Fase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</w:rPr>
              <w:t>Actividad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</w:rPr>
              <w:t>Duracion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</w:rPr>
              <w:t>Periodo Estimado</w:t>
            </w:r>
          </w:p>
        </w:tc>
      </w:tr>
      <w:tr>
        <w:tc>
          <w:tcPr>
            <w:tcW w:type="dxa" w:w="2351"/>
          </w:tcPr>
          <w:p>
            <w:r>
              <w:t>1</w:t>
            </w:r>
          </w:p>
        </w:tc>
        <w:tc>
          <w:tcPr>
            <w:tcW w:type="dxa" w:w="2351"/>
          </w:tcPr>
          <w:p>
            <w:r>
              <w:t>Evaluacion Visual</w:t>
            </w:r>
          </w:p>
        </w:tc>
        <w:tc>
          <w:tcPr>
            <w:tcW w:type="dxa" w:w="2351"/>
          </w:tcPr>
          <w:p>
            <w:r>
              <w:t>121 dias</w:t>
            </w:r>
          </w:p>
        </w:tc>
        <w:tc>
          <w:tcPr>
            <w:tcW w:type="dxa" w:w="2351"/>
          </w:tcPr>
          <w:p>
            <w:r>
              <w:t>Febrero - Julio 2026</w:t>
            </w:r>
          </w:p>
        </w:tc>
      </w:tr>
      <w:tr>
        <w:tc>
          <w:tcPr>
            <w:tcW w:type="dxa" w:w="2351"/>
          </w:tcPr>
          <w:p>
            <w:r>
              <w:t>2</w:t>
            </w:r>
          </w:p>
        </w:tc>
        <w:tc>
          <w:tcPr>
            <w:tcW w:type="dxa" w:w="2351"/>
          </w:tcPr>
          <w:p>
            <w:r>
              <w:t>Fabricacion Lentes</w:t>
            </w:r>
          </w:p>
        </w:tc>
        <w:tc>
          <w:tcPr>
            <w:tcW w:type="dxa" w:w="2351"/>
          </w:tcPr>
          <w:p>
            <w:r>
              <w:t>30-45 dias</w:t>
            </w:r>
          </w:p>
        </w:tc>
        <w:tc>
          <w:tcPr>
            <w:tcW w:type="dxa" w:w="2351"/>
          </w:tcPr>
          <w:p>
            <w:r>
              <w:t>Paralelo a Fase 1</w:t>
            </w:r>
          </w:p>
        </w:tc>
      </w:tr>
      <w:tr>
        <w:tc>
          <w:tcPr>
            <w:tcW w:type="dxa" w:w="2351"/>
          </w:tcPr>
          <w:p>
            <w:r>
              <w:t>3</w:t>
            </w:r>
          </w:p>
        </w:tc>
        <w:tc>
          <w:tcPr>
            <w:tcW w:type="dxa" w:w="2351"/>
          </w:tcPr>
          <w:p>
            <w:r>
              <w:t>Entrega de Lentes</w:t>
            </w:r>
          </w:p>
        </w:tc>
        <w:tc>
          <w:tcPr>
            <w:tcW w:type="dxa" w:w="2351"/>
          </w:tcPr>
          <w:p>
            <w:r>
              <w:t>71 dias</w:t>
            </w:r>
          </w:p>
        </w:tc>
        <w:tc>
          <w:tcPr>
            <w:tcW w:type="dxa" w:w="2351"/>
          </w:tcPr>
          <w:p>
            <w:r>
              <w:t>Agosto - Noviembre 2026</w:t>
            </w:r>
          </w:p>
        </w:tc>
      </w:tr>
      <w:tr>
        <w:tc>
          <w:tcPr>
            <w:tcW w:type="dxa" w:w="2351"/>
            <w:shd w:fill="E3F2FD"/>
          </w:tcPr>
          <w:p>
            <w:r>
              <w:rPr>
                <w:b/>
              </w:rPr>
            </w:r>
          </w:p>
        </w:tc>
        <w:tc>
          <w:tcPr>
            <w:tcW w:type="dxa" w:w="2351"/>
            <w:shd w:fill="E3F2FD"/>
          </w:tcPr>
          <w:p>
            <w:r>
              <w:rPr>
                <w:b/>
              </w:rPr>
              <w:t>TOTAL PROGRAMA</w:t>
            </w:r>
          </w:p>
        </w:tc>
        <w:tc>
          <w:tcPr>
            <w:tcW w:type="dxa" w:w="2351"/>
            <w:shd w:fill="E3F2FD"/>
          </w:tcPr>
          <w:p>
            <w:r>
              <w:rPr>
                <w:b/>
              </w:rPr>
              <w:t>192 dias</w:t>
            </w:r>
          </w:p>
        </w:tc>
        <w:tc>
          <w:tcPr>
            <w:tcW w:type="dxa" w:w="2351"/>
            <w:shd w:fill="E3F2FD"/>
          </w:tcPr>
          <w:p>
            <w:r>
              <w:rPr>
                <w:b/>
              </w:rPr>
              <w:t>Febrero - Noviembre 2026</w:t>
            </w:r>
          </w:p>
        </w:tc>
      </w:tr>
    </w:tbl>
    <w:p/>
    <w:p>
      <w:r>
        <w:rPr>
          <w:b/>
        </w:rPr>
        <w:t xml:space="preserve">Margen de seguridad: </w:t>
      </w:r>
      <w:r>
        <w:t>6 dias adicionales disponibles para contingencias climaticas o logisticas.</w:t>
      </w:r>
    </w:p>
    <w:p>
      <w:r>
        <w:br w:type="page"/>
      </w:r>
    </w:p>
    <w:p>
      <w:pPr>
        <w:pStyle w:val="Heading1"/>
      </w:pPr>
      <w:r>
        <w:rPr>
          <w:color w:val="003366"/>
          <w:sz w:val="32"/>
        </w:rPr>
        <w:t>8. IMPACTO SOCIAL Y ECONOMICO</w:t>
      </w:r>
    </w:p>
    <w:p>
      <w:pPr>
        <w:pStyle w:val="Heading2"/>
      </w:pPr>
      <w:r>
        <w:rPr>
          <w:color w:val="005288"/>
          <w:sz w:val="28"/>
        </w:rPr>
        <w:t>8.1 Impacto Educativo</w:t>
      </w:r>
    </w:p>
    <w:p>
      <w:r>
        <w:rPr>
          <w:b/>
        </w:rPr>
        <w:t xml:space="preserve">Mejora en rendimiento academico: </w:t>
      </w:r>
      <w:r>
        <w:t>Los estudiantes con vision corregida mejoran hasta 40% en calificaciones.</w:t>
      </w:r>
    </w:p>
    <w:p>
      <w:r>
        <w:rPr>
          <w:b/>
        </w:rPr>
        <w:t xml:space="preserve">Reduccion de desercion: </w:t>
      </w:r>
      <w:r>
        <w:t>Disminucion estimada del 15% en desercion escolar por causas visuales.</w:t>
      </w:r>
    </w:p>
    <w:p>
      <w:r>
        <w:rPr>
          <w:b/>
        </w:rPr>
        <w:t xml:space="preserve">Deteccion temprana: </w:t>
      </w:r>
      <w:r>
        <w:t>Identificacion de 5% de casos que requieren atencion oftalmologica especializada.</w:t>
      </w:r>
    </w:p>
    <w:p>
      <w:r>
        <w:rPr>
          <w:b/>
        </w:rPr>
        <w:t xml:space="preserve">Inclusion educativa: </w:t>
      </w:r>
      <w:r>
        <w:t>Ninos con discapacidad visual moderada pueden integrarse a aulas regulares.</w:t>
      </w:r>
    </w:p>
    <w:p>
      <w:pPr>
        <w:pStyle w:val="Heading2"/>
      </w:pPr>
      <w:r>
        <w:rPr>
          <w:color w:val="005288"/>
          <w:sz w:val="28"/>
        </w:rPr>
        <w:t>8.2 Impacto Economico</w:t>
      </w:r>
    </w:p>
    <w:p>
      <w:r>
        <w:rPr>
          <w:b/>
        </w:rPr>
        <w:t xml:space="preserve">Retorno de Inversion Social (SROI): </w:t>
      </w:r>
      <w:r>
        <w:t>Por cada peso invertido, se generan RD$4 en beneficios economicos a largo plazo.</w:t>
      </w:r>
    </w:p>
    <w:p>
      <w:pPr>
        <w:pStyle w:val="ListBullet"/>
      </w:pPr>
      <w:r>
        <w:t>Ahorro en tratamientos correctivos tardios: RD$180 millones proyectados.</w:t>
      </w:r>
    </w:p>
    <w:p>
      <w:pPr>
        <w:pStyle w:val="ListBullet"/>
      </w:pPr>
      <w:r>
        <w:t>Incremento en productividad futura de beneficiarios: RD$450 millones estimados.</w:t>
      </w:r>
    </w:p>
    <w:p>
      <w:pPr>
        <w:pStyle w:val="ListBullet"/>
      </w:pPr>
      <w:r>
        <w:t>Reduccion de costos de repitencia escolar: RD$95 millones.</w:t>
      </w:r>
    </w:p>
    <w:p>
      <w:pPr>
        <w:pStyle w:val="ListBullet"/>
      </w:pPr>
      <w:r>
        <w:t>Generacion de empleos directos e indirectos: 26 empleos permanentes + 50 temporales.</w:t>
      </w:r>
    </w:p>
    <w:p>
      <w:pPr>
        <w:pStyle w:val="Heading2"/>
      </w:pPr>
      <w:r>
        <w:rPr>
          <w:color w:val="005288"/>
          <w:sz w:val="28"/>
        </w:rPr>
        <w:t>8.3 Impacto Internacional</w:t>
      </w:r>
    </w:p>
    <w:p>
      <w:r>
        <w:t>El Programa VIS posiciona a la Republica Dominicana como pionera en America Latina en salud visual escolar con tecnologia de inteligencia artificial:</w:t>
      </w:r>
    </w:p>
    <w:p>
      <w:pPr>
        <w:pStyle w:val="ListBullet"/>
      </w:pPr>
      <w:r>
        <w:t>Primer programa nacional de tamizaje visual con IA en la region.</w:t>
      </w:r>
    </w:p>
    <w:p>
      <w:pPr>
        <w:pStyle w:val="ListBullet"/>
      </w:pPr>
      <w:r>
        <w:t>Modelo replicable para otros paises del Caribe y Centroamerica.</w:t>
      </w:r>
    </w:p>
    <w:p>
      <w:pPr>
        <w:pStyle w:val="ListBullet"/>
      </w:pPr>
      <w:r>
        <w:t>Reconocimiento potencial de OMS/OPS como practica ejemplar.</w:t>
      </w:r>
    </w:p>
    <w:p>
      <w:pPr>
        <w:pStyle w:val="ListBullet"/>
      </w:pPr>
      <w:r>
        <w:t>Atraccion de cooperacion internacional para expansion del programa.</w:t>
      </w:r>
    </w:p>
    <w:p>
      <w:r>
        <w:br w:type="page"/>
      </w:r>
    </w:p>
    <w:p>
      <w:pPr>
        <w:pStyle w:val="Heading1"/>
      </w:pPr>
      <w:r>
        <w:rPr>
          <w:color w:val="003366"/>
          <w:sz w:val="32"/>
        </w:rPr>
        <w:t>9. GOBERNANZA Y TRANSPARENCIA</w:t>
      </w:r>
    </w:p>
    <w:p>
      <w:pPr>
        <w:pStyle w:val="Heading2"/>
      </w:pPr>
      <w:r>
        <w:rPr>
          <w:color w:val="005288"/>
          <w:sz w:val="28"/>
        </w:rPr>
        <w:t>9.1 Estructura de Supervision</w:t>
      </w:r>
    </w:p>
    <w:p>
      <w:r>
        <w:rPr>
          <w:b/>
        </w:rPr>
        <w:t>Comite Interinstitucional de Supervision:</w:t>
      </w:r>
    </w:p>
    <w:p>
      <w:pPr>
        <w:pStyle w:val="ListBullet"/>
      </w:pPr>
      <w:r>
        <w:t>INABIE: Liderazgo ejecutivo y gestion operativa.</w:t>
      </w:r>
    </w:p>
    <w:p>
      <w:pPr>
        <w:pStyle w:val="ListBullet"/>
      </w:pPr>
      <w:r>
        <w:t>MINERD: Coordinacion con distritos educativos y escuelas.</w:t>
      </w:r>
    </w:p>
    <w:p>
      <w:pPr>
        <w:pStyle w:val="ListBullet"/>
      </w:pPr>
      <w:r>
        <w:t>MSP: Supervision de protocolos de salud y calidad.</w:t>
      </w:r>
    </w:p>
    <w:p>
      <w:pPr>
        <w:pStyle w:val="ListBullet"/>
      </w:pPr>
      <w:r>
        <w:t>Contraloria General: Auditoria de uso de fondos publicos.</w:t>
      </w:r>
    </w:p>
    <w:p>
      <w:pPr>
        <w:pStyle w:val="ListBullet"/>
      </w:pPr>
      <w:r>
        <w:t>Sociedad Civil: Veedurias ciudadanas y monitoreo independiente.</w:t>
      </w:r>
    </w:p>
    <w:p>
      <w:pPr>
        <w:pStyle w:val="Heading2"/>
      </w:pPr>
      <w:r>
        <w:rPr>
          <w:color w:val="005288"/>
          <w:sz w:val="28"/>
        </w:rPr>
        <w:t>9.2 Mecanismos de Transparencia</w:t>
      </w:r>
    </w:p>
    <w:p>
      <w:r>
        <w:rPr>
          <w:b/>
        </w:rPr>
        <w:t xml:space="preserve">Portal de datos abiertos: </w:t>
      </w:r>
      <w:r>
        <w:t>Publicacion mensual de avances, gastos y beneficiarios.</w:t>
      </w:r>
    </w:p>
    <w:p>
      <w:r>
        <w:rPr>
          <w:b/>
        </w:rPr>
        <w:t xml:space="preserve">Auditorias externas: </w:t>
      </w:r>
      <w:r>
        <w:t>Revision trimestral por firma independiente.</w:t>
      </w:r>
    </w:p>
    <w:p>
      <w:r>
        <w:rPr>
          <w:b/>
        </w:rPr>
        <w:t xml:space="preserve">Linea de denuncia: </w:t>
      </w:r>
      <w:r>
        <w:t>Canal anonimo para reportar irregularidades.</w:t>
      </w:r>
    </w:p>
    <w:p>
      <w:r>
        <w:rPr>
          <w:b/>
        </w:rPr>
        <w:t xml:space="preserve">Informes al Congreso: </w:t>
      </w:r>
      <w:r>
        <w:t>Rendicion de cuentas semestral ante comisiones legislativas.</w:t>
      </w:r>
    </w:p>
    <w:p>
      <w:pPr>
        <w:pStyle w:val="Heading2"/>
      </w:pPr>
      <w:r>
        <w:rPr>
          <w:color w:val="005288"/>
          <w:sz w:val="28"/>
        </w:rPr>
        <w:t>9.3 Indicadores de Desempeno</w:t>
      </w:r>
    </w:p>
    <w:p>
      <w:pPr>
        <w:pStyle w:val="ListBullet"/>
      </w:pPr>
      <w:r>
        <w:t>Cobertura: % de estudiantes evaluados vs. meta.</w:t>
      </w:r>
    </w:p>
    <w:p>
      <w:pPr>
        <w:pStyle w:val="ListBullet"/>
      </w:pPr>
      <w:r>
        <w:t>Eficiencia: Costo real vs. presupuestado por estudiante.</w:t>
      </w:r>
    </w:p>
    <w:p>
      <w:pPr>
        <w:pStyle w:val="ListBullet"/>
      </w:pPr>
      <w:r>
        <w:t>Calidad: % de lentes entregados sin reclamos.</w:t>
      </w:r>
    </w:p>
    <w:p>
      <w:pPr>
        <w:pStyle w:val="ListBullet"/>
      </w:pPr>
      <w:r>
        <w:t>Satisfaccion: Encuesta a familias beneficiarias.</w:t>
      </w:r>
    </w:p>
    <w:p>
      <w:pPr>
        <w:pStyle w:val="ListBullet"/>
      </w:pPr>
      <w:r>
        <w:t>Impacto: Mejora en calificaciones post-intervencion.</w:t>
      </w:r>
    </w:p>
    <w:p>
      <w:r>
        <w:br w:type="page"/>
      </w:r>
    </w:p>
    <w:p>
      <w:pPr>
        <w:pStyle w:val="Heading1"/>
      </w:pPr>
      <w:r>
        <w:rPr>
          <w:color w:val="003366"/>
          <w:sz w:val="32"/>
        </w:rPr>
        <w:t>10. SOLICITUD DE APROBACION</w:t>
      </w:r>
    </w:p>
    <w:p>
      <w:r>
        <w:rPr>
          <w:b/>
        </w:rPr>
        <w:t>Excelentisimo Senor Presidente:</w:t>
      </w:r>
    </w:p>
    <w:p/>
    <w:p>
      <w:r>
        <w:t>En virtud de lo expuesto, y en representacion del Instituto Nacional de Bienestar Estudiantil (INABIE), solicitamos respetuosamente:</w:t>
      </w:r>
    </w:p>
    <w:p/>
    <w:p>
      <w:r>
        <w:rPr>
          <w:b/>
        </w:rPr>
        <w:t xml:space="preserve">PRIMERO: </w:t>
      </w:r>
      <w:r>
        <w:t>La aprobacion de una partida presupuestaria de RD$298,635,245 (Doscientos Noventa y Ocho Millones Seiscientos Treinta y Cinco Mil Doscientos Cuarenta y Cinco Pesos Dominicanos) para la ejecucion del Programa Vision Infantil Sana durante el ano fiscal 2026.</w:t>
      </w:r>
    </w:p>
    <w:p/>
    <w:p>
      <w:r>
        <w:rPr>
          <w:b/>
        </w:rPr>
        <w:t xml:space="preserve">SEGUNDO: </w:t>
      </w:r>
      <w:r>
        <w:t>La designacion de INABIE como entidad ejecutora del programa, con la supervision interinstitucional del MINERD y el Ministerio de Salud Publica.</w:t>
      </w:r>
    </w:p>
    <w:p/>
    <w:p>
      <w:r>
        <w:rPr>
          <w:b/>
        </w:rPr>
        <w:t xml:space="preserve">TERCERO: </w:t>
      </w:r>
      <w:r>
        <w:t>La autorizacion para iniciar los procesos de licitacion publica para la adquisicion de equipos y servicios requeridos, conforme a la Ley 340-06 de Compras y Contrataciones.</w:t>
      </w:r>
    </w:p>
    <w:p/>
    <w:p/>
    <w:p>
      <w:r>
        <w:t>Confiamos en que esta iniciativa recibira su respaldo, contribuyendo asi al legado de su gobierno en materia de educacion y salud publica.</w:t>
      </w:r>
    </w:p>
    <w:p/>
    <w:p>
      <w:r>
        <w:t>Respetuosamente,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jc w:val="center"/>
            </w:pPr>
            <w:r>
              <w:t>___________________________________</w:t>
            </w:r>
          </w:p>
        </w:tc>
        <w:tc>
          <w:tcPr>
            <w:tcW w:type="dxa" w:w="4703"/>
          </w:tcPr>
          <w:p>
            <w:pPr>
              <w:jc w:val="center"/>
            </w:pPr>
            <w:r>
              <w:t>___________________________________</w:t>
            </w:r>
          </w:p>
        </w:tc>
      </w:tr>
      <w:tr>
        <w:tc>
          <w:tcPr>
            <w:tcW w:type="dxa" w:w="4703"/>
          </w:tcPr>
          <w:p>
            <w:pPr>
              <w:jc w:val="center"/>
            </w:pPr>
            <w:r>
              <w:t>Director Ejecutivo INABIE</w:t>
            </w:r>
          </w:p>
        </w:tc>
        <w:tc>
          <w:tcPr>
            <w:tcW w:type="dxa" w:w="4703"/>
          </w:tcPr>
          <w:p>
            <w:pPr>
              <w:jc w:val="center"/>
            </w:pPr>
            <w:r>
              <w:t>Ministro de Educacion MINERD</w:t>
            </w:r>
          </w:p>
        </w:tc>
      </w:tr>
    </w:tbl>
    <w:p/>
    <w:p/>
    <w:p>
      <w:pPr>
        <w:jc w:val="center"/>
      </w:pPr>
      <w:r>
        <w:rPr>
          <w:b/>
          <w:sz w:val="24"/>
        </w:rPr>
        <w:t>ANEXOS</w:t>
      </w:r>
    </w:p>
    <w:p>
      <w:pPr>
        <w:jc w:val="center"/>
      </w:pPr>
      <w:r>
        <w:t>Anexo A: Especificaciones tecnicas de equipos</w:t>
      </w:r>
    </w:p>
    <w:p>
      <w:pPr>
        <w:jc w:val="center"/>
      </w:pPr>
      <w:r>
        <w:t>Anexo B: Metodologia de calculo de costos</w:t>
      </w:r>
    </w:p>
    <w:p>
      <w:pPr>
        <w:jc w:val="center"/>
      </w:pPr>
      <w:r>
        <w:t>Anexo C: Listado de escuelas por distrito educativo</w:t>
      </w:r>
    </w:p>
    <w:p>
      <w:pPr>
        <w:jc w:val="center"/>
      </w:pPr>
      <w:r>
        <w:t>Anexo D: Cronograma detallado de actividades</w:t>
      </w:r>
    </w:p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